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D2CEF" w14:textId="59F72DFC" w:rsidR="003B628D" w:rsidRPr="009B05F7" w:rsidRDefault="009B05F7" w:rsidP="00A26025">
      <w:pPr>
        <w:spacing w:line="276" w:lineRule="auto"/>
        <w:jc w:val="center"/>
        <w:rPr>
          <w:rFonts w:ascii="Arial" w:hAnsi="Arial" w:cs="Arial"/>
          <w:b/>
          <w:bCs/>
          <w:lang w:val="en-US"/>
        </w:rPr>
      </w:pPr>
      <w:r w:rsidRPr="009B05F7">
        <w:rPr>
          <w:rFonts w:ascii="Arial" w:hAnsi="Arial" w:cs="Arial"/>
          <w:b/>
          <w:bCs/>
          <w:lang w:val="en-US"/>
        </w:rPr>
        <w:t>SUSTAINABILITY POLICY</w:t>
      </w:r>
    </w:p>
    <w:p w14:paraId="18D66A83" w14:textId="77777777" w:rsidR="009B05F7" w:rsidRDefault="009B05F7" w:rsidP="00C80D62">
      <w:pPr>
        <w:spacing w:line="276" w:lineRule="auto"/>
        <w:jc w:val="both"/>
        <w:rPr>
          <w:rFonts w:ascii="Arial" w:hAnsi="Arial" w:cs="Arial"/>
          <w:sz w:val="20"/>
          <w:szCs w:val="20"/>
          <w:lang w:val="en-US"/>
        </w:rPr>
      </w:pPr>
      <w:r w:rsidRPr="009B05F7">
        <w:rPr>
          <w:rFonts w:ascii="Arial" w:hAnsi="Arial" w:cs="Arial"/>
          <w:sz w:val="20"/>
          <w:szCs w:val="20"/>
          <w:lang w:val="en-US"/>
        </w:rPr>
        <w:t>At Incalpaca TPX we conceive sustainability as a fundamental axis and integral part of the Company. Our activities denote the commitment assumed and oriented to the appropriate management of the economic, social and environmental impacts generated. We prioritize the preservation of the environment, the well-being of our collaborators and community, the consolidation of policies, practices and processes leading to the continuous improvement of the performance of environmental, social and governance aspects in our value chain.</w:t>
      </w:r>
    </w:p>
    <w:p w14:paraId="1AF2A2AF" w14:textId="77777777" w:rsidR="009B05F7" w:rsidRPr="00883EE2" w:rsidRDefault="009B05F7" w:rsidP="009B05F7">
      <w:pPr>
        <w:jc w:val="both"/>
        <w:rPr>
          <w:rFonts w:ascii="Arial" w:hAnsi="Arial" w:cs="Arial"/>
          <w:lang w:val="en-US"/>
        </w:rPr>
      </w:pPr>
      <w:r w:rsidRPr="00883EE2">
        <w:rPr>
          <w:rFonts w:ascii="Arial" w:hAnsi="Arial" w:cs="Arial"/>
          <w:lang w:val="en-US"/>
        </w:rPr>
        <w:t>The following are pillars of the sustainability of the organization:</w:t>
      </w:r>
    </w:p>
    <w:p w14:paraId="4D068FFC" w14:textId="3B83FDDC" w:rsidR="009B05F7" w:rsidRDefault="00F66C0C" w:rsidP="00A26025">
      <w:pPr>
        <w:spacing w:line="276" w:lineRule="auto"/>
        <w:jc w:val="both"/>
        <w:rPr>
          <w:rFonts w:ascii="Arial" w:hAnsi="Arial" w:cs="Arial"/>
          <w:sz w:val="20"/>
          <w:szCs w:val="20"/>
          <w:lang w:val="en-US"/>
        </w:rPr>
      </w:pPr>
      <w:r w:rsidRPr="009B05F7">
        <w:rPr>
          <w:rFonts w:ascii="Arial" w:hAnsi="Arial" w:cs="Arial"/>
          <w:b/>
          <w:bCs/>
          <w:sz w:val="20"/>
          <w:szCs w:val="20"/>
          <w:lang w:val="en-US"/>
        </w:rPr>
        <w:t>Equi</w:t>
      </w:r>
      <w:r w:rsidR="009B05F7">
        <w:rPr>
          <w:rFonts w:ascii="Arial" w:hAnsi="Arial" w:cs="Arial"/>
          <w:b/>
          <w:bCs/>
          <w:sz w:val="20"/>
          <w:szCs w:val="20"/>
          <w:lang w:val="en-US"/>
        </w:rPr>
        <w:t>ty</w:t>
      </w:r>
      <w:r w:rsidR="00C72279" w:rsidRPr="009B05F7">
        <w:rPr>
          <w:rFonts w:ascii="Arial" w:hAnsi="Arial" w:cs="Arial"/>
          <w:b/>
          <w:bCs/>
          <w:sz w:val="20"/>
          <w:szCs w:val="20"/>
          <w:lang w:val="en-US"/>
        </w:rPr>
        <w:t>:</w:t>
      </w:r>
      <w:r w:rsidR="00C72279" w:rsidRPr="009B05F7">
        <w:rPr>
          <w:rFonts w:ascii="Arial" w:hAnsi="Arial" w:cs="Arial"/>
          <w:sz w:val="20"/>
          <w:szCs w:val="20"/>
          <w:lang w:val="en-US"/>
        </w:rPr>
        <w:t xml:space="preserve"> </w:t>
      </w:r>
      <w:r w:rsidR="009B05F7" w:rsidRPr="009B05F7">
        <w:rPr>
          <w:rFonts w:ascii="Arial" w:hAnsi="Arial" w:cs="Arial"/>
          <w:sz w:val="20"/>
          <w:szCs w:val="20"/>
          <w:lang w:val="en-US"/>
        </w:rPr>
        <w:t xml:space="preserve">Without any distinction, we promote good </w:t>
      </w:r>
      <w:r w:rsidR="009B05F7" w:rsidRPr="009B05F7">
        <w:rPr>
          <w:rFonts w:ascii="Arial" w:hAnsi="Arial" w:cs="Arial"/>
          <w:sz w:val="20"/>
          <w:szCs w:val="20"/>
          <w:lang w:val="en-US"/>
        </w:rPr>
        <w:t>fair-trade</w:t>
      </w:r>
      <w:r w:rsidR="009B05F7" w:rsidRPr="009B05F7">
        <w:rPr>
          <w:rFonts w:ascii="Arial" w:hAnsi="Arial" w:cs="Arial"/>
          <w:sz w:val="20"/>
          <w:szCs w:val="20"/>
          <w:lang w:val="en-US"/>
        </w:rPr>
        <w:t xml:space="preserve"> practices, decent and safe working conditions, improving the quality of life in our areas of influence and the conservation of ancestral traditions, complying with national laws and current international social standards.</w:t>
      </w:r>
    </w:p>
    <w:p w14:paraId="7B61844C" w14:textId="7B65ECFC" w:rsidR="00CD7445" w:rsidRPr="009B05F7" w:rsidRDefault="009B05F7" w:rsidP="00A26025">
      <w:pPr>
        <w:spacing w:line="276" w:lineRule="auto"/>
        <w:jc w:val="both"/>
        <w:rPr>
          <w:rFonts w:ascii="Arial" w:hAnsi="Arial" w:cs="Arial"/>
          <w:sz w:val="20"/>
          <w:szCs w:val="20"/>
          <w:lang w:val="en-US"/>
        </w:rPr>
      </w:pPr>
      <w:r w:rsidRPr="009B05F7">
        <w:rPr>
          <w:rFonts w:ascii="Arial" w:hAnsi="Arial" w:cs="Arial"/>
          <w:b/>
          <w:bCs/>
          <w:sz w:val="20"/>
          <w:szCs w:val="20"/>
          <w:lang w:val="en-US"/>
        </w:rPr>
        <w:t>Environment</w:t>
      </w:r>
      <w:r w:rsidRPr="009B05F7">
        <w:rPr>
          <w:rFonts w:ascii="Arial" w:hAnsi="Arial" w:cs="Arial"/>
          <w:b/>
          <w:bCs/>
          <w:sz w:val="20"/>
          <w:szCs w:val="20"/>
          <w:lang w:val="en-US"/>
        </w:rPr>
        <w:t>:</w:t>
      </w:r>
      <w:r>
        <w:rPr>
          <w:rFonts w:ascii="Arial" w:hAnsi="Arial" w:cs="Arial"/>
          <w:sz w:val="20"/>
          <w:szCs w:val="20"/>
          <w:lang w:val="en-US"/>
        </w:rPr>
        <w:t xml:space="preserve"> </w:t>
      </w:r>
      <w:r w:rsidRPr="009B05F7">
        <w:rPr>
          <w:rFonts w:ascii="Arial" w:hAnsi="Arial" w:cs="Arial"/>
          <w:sz w:val="20"/>
          <w:szCs w:val="20"/>
          <w:lang w:val="en-US"/>
        </w:rPr>
        <w:t xml:space="preserve">We are committed to the sustainable and efficient use of natural resources and the prevention of </w:t>
      </w:r>
      <w:r w:rsidRPr="009B05F7">
        <w:rPr>
          <w:rFonts w:ascii="Arial" w:hAnsi="Arial" w:cs="Arial"/>
          <w:sz w:val="20"/>
          <w:szCs w:val="20"/>
          <w:lang w:val="en-US"/>
        </w:rPr>
        <w:t>pollution;</w:t>
      </w:r>
      <w:r w:rsidRPr="009B05F7">
        <w:rPr>
          <w:rFonts w:ascii="Arial" w:hAnsi="Arial" w:cs="Arial"/>
          <w:sz w:val="20"/>
          <w:szCs w:val="20"/>
          <w:lang w:val="en-US"/>
        </w:rPr>
        <w:t xml:space="preserve"> we comply with applicable and current legal regulations and international standards. We promote the circular economy, the reuse and recycling of solid waste, ensuring the use of environmentally friendly products, focused on achieving clean production. In addition, we promote the conservation of habitats throughout our value chain, from the raising of the alpaca.</w:t>
      </w:r>
    </w:p>
    <w:p w14:paraId="720A63C3" w14:textId="23D8D650" w:rsidR="009B05F7" w:rsidRPr="009B05F7" w:rsidRDefault="009B05F7" w:rsidP="00A26025">
      <w:pPr>
        <w:spacing w:line="276" w:lineRule="auto"/>
        <w:jc w:val="both"/>
        <w:rPr>
          <w:rFonts w:ascii="Arial" w:hAnsi="Arial" w:cs="Arial"/>
          <w:sz w:val="20"/>
          <w:szCs w:val="20"/>
          <w:lang w:val="en-US"/>
        </w:rPr>
      </w:pPr>
      <w:r w:rsidRPr="009B05F7">
        <w:rPr>
          <w:rFonts w:ascii="Arial" w:hAnsi="Arial" w:cs="Arial"/>
          <w:b/>
          <w:bCs/>
          <w:sz w:val="20"/>
          <w:szCs w:val="20"/>
          <w:lang w:val="en-US"/>
        </w:rPr>
        <w:t xml:space="preserve">Animal welfare: </w:t>
      </w:r>
      <w:r w:rsidRPr="009B05F7">
        <w:rPr>
          <w:rFonts w:ascii="Arial" w:hAnsi="Arial" w:cs="Arial"/>
          <w:sz w:val="20"/>
          <w:szCs w:val="20"/>
          <w:lang w:val="en-US"/>
        </w:rPr>
        <w:t xml:space="preserve">We care about knowing the origin of the fiber we use in the manufacture of our products, which is why we try to obtain fiber from farms where the five animal freedoms are respected. Likewise, our “Inca Shearing” model is the shearing technique adopted by the national alpaca industry and converted into a </w:t>
      </w:r>
      <w:r>
        <w:rPr>
          <w:rFonts w:ascii="Arial" w:hAnsi="Arial" w:cs="Arial"/>
          <w:sz w:val="20"/>
          <w:szCs w:val="20"/>
          <w:lang w:val="en-US"/>
        </w:rPr>
        <w:t xml:space="preserve">National </w:t>
      </w:r>
      <w:r w:rsidRPr="009B05F7">
        <w:rPr>
          <w:rFonts w:ascii="Arial" w:hAnsi="Arial" w:cs="Arial"/>
          <w:sz w:val="20"/>
          <w:szCs w:val="20"/>
          <w:lang w:val="en-US"/>
        </w:rPr>
        <w:t xml:space="preserve">Technical Standard for reducing the stress level of the animals during the shearing process. On the other hand, </w:t>
      </w:r>
      <w:r>
        <w:rPr>
          <w:rFonts w:ascii="Arial" w:hAnsi="Arial" w:cs="Arial"/>
          <w:sz w:val="20"/>
          <w:szCs w:val="20"/>
          <w:lang w:val="en-US"/>
        </w:rPr>
        <w:t xml:space="preserve">the </w:t>
      </w:r>
      <w:r w:rsidRPr="009B05F7">
        <w:rPr>
          <w:rFonts w:ascii="Arial" w:hAnsi="Arial" w:cs="Arial"/>
          <w:sz w:val="20"/>
          <w:szCs w:val="20"/>
          <w:lang w:val="en-US"/>
        </w:rPr>
        <w:t xml:space="preserve">participation </w:t>
      </w:r>
      <w:r>
        <w:rPr>
          <w:rFonts w:ascii="Arial" w:hAnsi="Arial" w:cs="Arial"/>
          <w:sz w:val="20"/>
          <w:szCs w:val="20"/>
          <w:lang w:val="en-US"/>
        </w:rPr>
        <w:t xml:space="preserve">of Incalpaca TPX </w:t>
      </w:r>
      <w:r w:rsidRPr="009B05F7">
        <w:rPr>
          <w:rFonts w:ascii="Arial" w:hAnsi="Arial" w:cs="Arial"/>
          <w:sz w:val="20"/>
          <w:szCs w:val="20"/>
          <w:lang w:val="en-US"/>
        </w:rPr>
        <w:t>in the sustainable management of vicuña fiber has been transcendental in preventing the extinction of this species and ensuring its conservation.</w:t>
      </w:r>
    </w:p>
    <w:p w14:paraId="13E24ACD" w14:textId="075A3CF7" w:rsidR="00731F89" w:rsidRPr="00731F89" w:rsidRDefault="00731F89" w:rsidP="00A26025">
      <w:pPr>
        <w:spacing w:line="276" w:lineRule="auto"/>
        <w:jc w:val="both"/>
        <w:rPr>
          <w:rFonts w:ascii="Arial" w:hAnsi="Arial" w:cs="Arial"/>
          <w:iCs/>
          <w:sz w:val="20"/>
          <w:szCs w:val="20"/>
          <w:lang w:val="en-US"/>
        </w:rPr>
      </w:pPr>
      <w:r w:rsidRPr="00731F89">
        <w:rPr>
          <w:rFonts w:ascii="Arial" w:hAnsi="Arial" w:cs="Arial"/>
          <w:b/>
          <w:bCs/>
          <w:iCs/>
          <w:sz w:val="20"/>
          <w:szCs w:val="20"/>
          <w:lang w:val="en-US"/>
        </w:rPr>
        <w:t xml:space="preserve">Resilience: </w:t>
      </w:r>
      <w:r w:rsidRPr="00731F89">
        <w:rPr>
          <w:rFonts w:ascii="Arial" w:hAnsi="Arial" w:cs="Arial"/>
          <w:iCs/>
          <w:sz w:val="20"/>
          <w:szCs w:val="20"/>
          <w:lang w:val="en-US"/>
        </w:rPr>
        <w:t>We have the ability to prepare, respond and adapt to changes, with continuous improvement as our objective and commitment. Through our genetic programs, we improve the quality of alpaca fiber, which allows our products to be more durable, resistant and</w:t>
      </w:r>
      <w:r>
        <w:rPr>
          <w:rFonts w:ascii="Arial" w:hAnsi="Arial" w:cs="Arial"/>
          <w:iCs/>
          <w:sz w:val="20"/>
          <w:szCs w:val="20"/>
          <w:lang w:val="en-US"/>
        </w:rPr>
        <w:t xml:space="preserve"> of</w:t>
      </w:r>
      <w:r w:rsidRPr="00731F89">
        <w:rPr>
          <w:rFonts w:ascii="Arial" w:hAnsi="Arial" w:cs="Arial"/>
          <w:iCs/>
          <w:sz w:val="20"/>
          <w:szCs w:val="20"/>
          <w:lang w:val="en-US"/>
        </w:rPr>
        <w:t xml:space="preserve"> high quality.</w:t>
      </w:r>
    </w:p>
    <w:p w14:paraId="4F9E6BB6" w14:textId="1E8C59E8" w:rsidR="00E74546" w:rsidRPr="00731F89" w:rsidRDefault="00731F89">
      <w:pPr>
        <w:jc w:val="both"/>
        <w:rPr>
          <w:rFonts w:ascii="Arial" w:hAnsi="Arial" w:cs="Arial"/>
          <w:sz w:val="20"/>
          <w:szCs w:val="20"/>
          <w:lang w:val="en-US"/>
        </w:rPr>
      </w:pPr>
      <w:r w:rsidRPr="00731F89">
        <w:rPr>
          <w:rFonts w:ascii="Arial" w:hAnsi="Arial" w:cs="Arial"/>
          <w:sz w:val="20"/>
          <w:szCs w:val="20"/>
          <w:lang w:val="en-US"/>
        </w:rPr>
        <w:t>The Senior Management of Incalpaca TPX is committed to the implementation and monitoring of this Policy and to the establishment of objectives and goals that allow us to manage and communicate our environmental, social and governance impacts.</w:t>
      </w:r>
      <w:r w:rsidR="00AF015F" w:rsidRPr="00731F89">
        <w:rPr>
          <w:rFonts w:ascii="Arial" w:hAnsi="Arial" w:cs="Arial"/>
          <w:sz w:val="20"/>
          <w:szCs w:val="20"/>
          <w:lang w:val="en-US"/>
        </w:rPr>
        <w:tab/>
      </w:r>
      <w:r w:rsidR="00AF015F" w:rsidRPr="00731F89">
        <w:rPr>
          <w:rFonts w:ascii="Arial" w:hAnsi="Arial" w:cs="Arial"/>
          <w:sz w:val="20"/>
          <w:szCs w:val="20"/>
          <w:lang w:val="en-US"/>
        </w:rPr>
        <w:tab/>
      </w:r>
      <w:r w:rsidR="00AF015F" w:rsidRPr="00731F89">
        <w:rPr>
          <w:rFonts w:ascii="Arial" w:hAnsi="Arial" w:cs="Arial"/>
          <w:sz w:val="20"/>
          <w:szCs w:val="20"/>
          <w:lang w:val="en-US"/>
        </w:rPr>
        <w:tab/>
      </w:r>
      <w:r w:rsidR="00AF015F" w:rsidRPr="00731F89">
        <w:rPr>
          <w:rFonts w:ascii="Arial" w:hAnsi="Arial" w:cs="Arial"/>
          <w:sz w:val="20"/>
          <w:szCs w:val="20"/>
          <w:lang w:val="en-US"/>
        </w:rPr>
        <w:tab/>
      </w:r>
      <w:r w:rsidR="00AF015F" w:rsidRPr="00731F89">
        <w:rPr>
          <w:rFonts w:ascii="Arial" w:hAnsi="Arial" w:cs="Arial"/>
          <w:sz w:val="20"/>
          <w:szCs w:val="20"/>
          <w:lang w:val="en-US"/>
        </w:rPr>
        <w:tab/>
      </w:r>
      <w:r w:rsidR="00AF015F" w:rsidRPr="00731F89">
        <w:rPr>
          <w:rFonts w:ascii="Arial" w:hAnsi="Arial" w:cs="Arial"/>
          <w:sz w:val="20"/>
          <w:szCs w:val="20"/>
          <w:lang w:val="en-US"/>
        </w:rPr>
        <w:tab/>
      </w:r>
      <w:r w:rsidR="00AF015F" w:rsidRPr="00731F89">
        <w:rPr>
          <w:rFonts w:ascii="Arial" w:hAnsi="Arial" w:cs="Arial"/>
          <w:sz w:val="20"/>
          <w:szCs w:val="20"/>
          <w:lang w:val="en-US"/>
        </w:rPr>
        <w:tab/>
      </w:r>
      <w:r w:rsidR="00AF015F" w:rsidRPr="00731F89">
        <w:rPr>
          <w:rFonts w:ascii="Arial" w:hAnsi="Arial" w:cs="Arial"/>
          <w:sz w:val="20"/>
          <w:szCs w:val="20"/>
          <w:lang w:val="en-US"/>
        </w:rPr>
        <w:tab/>
      </w:r>
    </w:p>
    <w:p w14:paraId="06288648" w14:textId="77777777" w:rsidR="00991883" w:rsidRPr="00731F89" w:rsidRDefault="00991883">
      <w:pPr>
        <w:jc w:val="both"/>
        <w:rPr>
          <w:rFonts w:ascii="Arial" w:hAnsi="Arial" w:cs="Arial"/>
          <w:sz w:val="20"/>
          <w:szCs w:val="20"/>
          <w:lang w:val="en-US"/>
        </w:rPr>
      </w:pPr>
    </w:p>
    <w:p w14:paraId="25BCE896" w14:textId="77777777" w:rsidR="00B03C65" w:rsidRPr="00731F89" w:rsidRDefault="00B03C65">
      <w:pPr>
        <w:jc w:val="both"/>
        <w:rPr>
          <w:rFonts w:ascii="Arial" w:hAnsi="Arial" w:cs="Arial"/>
          <w:sz w:val="20"/>
          <w:szCs w:val="20"/>
          <w:lang w:val="en-US"/>
        </w:rPr>
      </w:pPr>
    </w:p>
    <w:p w14:paraId="62766837" w14:textId="6CB00450" w:rsidR="00AF015F" w:rsidRPr="00991883" w:rsidRDefault="003224F3" w:rsidP="00AF015F">
      <w:pPr>
        <w:spacing w:after="0"/>
        <w:jc w:val="center"/>
        <w:rPr>
          <w:rFonts w:ascii="Arial" w:hAnsi="Arial" w:cs="Arial"/>
          <w:sz w:val="20"/>
          <w:szCs w:val="20"/>
          <w:lang w:val="es-MX"/>
        </w:rPr>
      </w:pPr>
      <w:r w:rsidRPr="00991883">
        <w:rPr>
          <w:rFonts w:ascii="Arial" w:hAnsi="Arial" w:cs="Arial"/>
          <w:sz w:val="20"/>
          <w:szCs w:val="20"/>
          <w:lang w:val="es-MX"/>
        </w:rPr>
        <w:t>Alejandro Olazábal Gómez de la Torre</w:t>
      </w:r>
    </w:p>
    <w:p w14:paraId="4B13B222" w14:textId="01728A7C" w:rsidR="00AF015F" w:rsidRPr="00991883" w:rsidRDefault="00731F89" w:rsidP="00AF015F">
      <w:pPr>
        <w:spacing w:after="0"/>
        <w:jc w:val="center"/>
        <w:rPr>
          <w:rFonts w:ascii="Arial" w:hAnsi="Arial" w:cs="Arial"/>
          <w:sz w:val="20"/>
          <w:szCs w:val="20"/>
          <w:lang w:val="es-MX"/>
        </w:rPr>
      </w:pPr>
      <w:r w:rsidRPr="00731F89">
        <w:rPr>
          <w:rFonts w:ascii="Arial" w:hAnsi="Arial" w:cs="Arial"/>
          <w:sz w:val="20"/>
          <w:szCs w:val="20"/>
          <w:lang w:val="es-MX"/>
        </w:rPr>
        <w:t>Administration and HR Manager</w:t>
      </w:r>
    </w:p>
    <w:p w14:paraId="57823A38" w14:textId="1341304F" w:rsidR="00AF015F" w:rsidRPr="00991883" w:rsidRDefault="003641F6" w:rsidP="00AF015F">
      <w:pPr>
        <w:spacing w:after="0"/>
        <w:jc w:val="center"/>
        <w:rPr>
          <w:rFonts w:ascii="Arial" w:hAnsi="Arial" w:cs="Arial"/>
          <w:sz w:val="20"/>
          <w:szCs w:val="20"/>
          <w:lang w:val="es-MX"/>
        </w:rPr>
      </w:pPr>
      <w:r w:rsidRPr="00991883">
        <w:rPr>
          <w:rFonts w:ascii="Arial" w:hAnsi="Arial" w:cs="Arial"/>
          <w:sz w:val="20"/>
          <w:szCs w:val="20"/>
          <w:lang w:val="es-MX"/>
        </w:rPr>
        <w:t>INCALPACA</w:t>
      </w:r>
      <w:r w:rsidR="00AF015F" w:rsidRPr="00991883">
        <w:rPr>
          <w:rFonts w:ascii="Arial" w:hAnsi="Arial" w:cs="Arial"/>
          <w:sz w:val="20"/>
          <w:szCs w:val="20"/>
          <w:lang w:val="es-MX"/>
        </w:rPr>
        <w:t xml:space="preserve"> TPX S.A.</w:t>
      </w:r>
    </w:p>
    <w:p w14:paraId="4BE052CB" w14:textId="77777777" w:rsidR="00AF015F" w:rsidRPr="00991883" w:rsidRDefault="00AF015F">
      <w:pPr>
        <w:jc w:val="both"/>
        <w:rPr>
          <w:rFonts w:ascii="Arial" w:hAnsi="Arial" w:cs="Arial"/>
          <w:sz w:val="20"/>
          <w:szCs w:val="20"/>
          <w:lang w:val="es-MX"/>
        </w:rPr>
      </w:pPr>
    </w:p>
    <w:p w14:paraId="4544EDD6" w14:textId="77777777" w:rsidR="00AF015F" w:rsidRPr="00991883" w:rsidRDefault="00AF015F">
      <w:pPr>
        <w:jc w:val="both"/>
        <w:rPr>
          <w:rFonts w:ascii="Arial" w:hAnsi="Arial" w:cs="Arial"/>
          <w:sz w:val="20"/>
          <w:szCs w:val="20"/>
          <w:lang w:val="es-MX"/>
        </w:rPr>
      </w:pPr>
    </w:p>
    <w:p w14:paraId="0FA3F437" w14:textId="7E4E6F6E" w:rsidR="00E6229A" w:rsidRPr="00991883" w:rsidRDefault="00AF015F">
      <w:pPr>
        <w:jc w:val="both"/>
        <w:rPr>
          <w:rFonts w:ascii="Arial" w:hAnsi="Arial" w:cs="Arial"/>
          <w:sz w:val="20"/>
          <w:szCs w:val="20"/>
        </w:rPr>
      </w:pPr>
      <w:r w:rsidRPr="00991883">
        <w:rPr>
          <w:rFonts w:ascii="Arial" w:hAnsi="Arial" w:cs="Arial"/>
          <w:sz w:val="20"/>
          <w:szCs w:val="20"/>
          <w:lang w:val="es-MX"/>
        </w:rPr>
        <w:t>Versi</w:t>
      </w:r>
      <w:r w:rsidR="00731F89">
        <w:rPr>
          <w:rFonts w:ascii="Arial" w:hAnsi="Arial" w:cs="Arial"/>
          <w:sz w:val="20"/>
          <w:szCs w:val="20"/>
          <w:lang w:val="es-MX"/>
        </w:rPr>
        <w:t>o</w:t>
      </w:r>
      <w:r w:rsidRPr="00991883">
        <w:rPr>
          <w:rFonts w:ascii="Arial" w:hAnsi="Arial" w:cs="Arial"/>
          <w:sz w:val="20"/>
          <w:szCs w:val="20"/>
          <w:lang w:val="es-MX"/>
        </w:rPr>
        <w:t xml:space="preserve">n </w:t>
      </w:r>
      <w:r w:rsidR="004648E3" w:rsidRPr="00991883">
        <w:rPr>
          <w:rFonts w:ascii="Arial" w:hAnsi="Arial" w:cs="Arial"/>
          <w:sz w:val="20"/>
          <w:szCs w:val="20"/>
          <w:lang w:val="es-MX"/>
        </w:rPr>
        <w:t xml:space="preserve">03, </w:t>
      </w:r>
      <w:r w:rsidR="00731F89">
        <w:rPr>
          <w:rFonts w:ascii="Arial" w:hAnsi="Arial" w:cs="Arial"/>
          <w:sz w:val="20"/>
          <w:szCs w:val="20"/>
          <w:lang w:val="es-MX"/>
        </w:rPr>
        <w:t>January 2024.</w:t>
      </w:r>
    </w:p>
    <w:sectPr w:rsidR="00E6229A" w:rsidRPr="00991883" w:rsidSect="0054149D">
      <w:headerReference w:type="default" r:id="rId7"/>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C43CE" w14:textId="77777777" w:rsidR="0054149D" w:rsidRDefault="0054149D" w:rsidP="0043130A">
      <w:pPr>
        <w:spacing w:after="0" w:line="240" w:lineRule="auto"/>
      </w:pPr>
      <w:r>
        <w:separator/>
      </w:r>
    </w:p>
  </w:endnote>
  <w:endnote w:type="continuationSeparator" w:id="0">
    <w:p w14:paraId="2CA7D860" w14:textId="77777777" w:rsidR="0054149D" w:rsidRDefault="0054149D" w:rsidP="00431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D5F2A" w14:textId="77777777" w:rsidR="0054149D" w:rsidRDefault="0054149D" w:rsidP="0043130A">
      <w:pPr>
        <w:spacing w:after="0" w:line="240" w:lineRule="auto"/>
      </w:pPr>
      <w:r>
        <w:separator/>
      </w:r>
    </w:p>
  </w:footnote>
  <w:footnote w:type="continuationSeparator" w:id="0">
    <w:p w14:paraId="679F3B99" w14:textId="77777777" w:rsidR="0054149D" w:rsidRDefault="0054149D" w:rsidP="004313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Look w:val="04A0" w:firstRow="1" w:lastRow="0" w:firstColumn="1" w:lastColumn="0" w:noHBand="0" w:noVBand="1"/>
    </w:tblPr>
    <w:tblGrid>
      <w:gridCol w:w="2256"/>
      <w:gridCol w:w="4787"/>
      <w:gridCol w:w="1451"/>
    </w:tblGrid>
    <w:tr w:rsidR="00AF015F" w14:paraId="3BA8472B" w14:textId="77777777" w:rsidTr="00AF015F">
      <w:trPr>
        <w:trHeight w:val="844"/>
      </w:trPr>
      <w:tc>
        <w:tcPr>
          <w:tcW w:w="1696" w:type="dxa"/>
          <w:vAlign w:val="center"/>
        </w:tcPr>
        <w:p w14:paraId="10A6A909" w14:textId="5B43D262" w:rsidR="00AF015F" w:rsidRDefault="00AF015F" w:rsidP="0043130A">
          <w:pPr>
            <w:pStyle w:val="Encabezado"/>
            <w:jc w:val="center"/>
          </w:pPr>
          <w:r>
            <w:rPr>
              <w:noProof/>
              <w:lang w:eastAsia="es-PE"/>
            </w:rPr>
            <w:drawing>
              <wp:inline distT="0" distB="0" distL="0" distR="0" wp14:anchorId="53EAD28A" wp14:editId="24B1D90C">
                <wp:extent cx="1292605" cy="432435"/>
                <wp:effectExtent l="0" t="0" r="3175" b="571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4366" cy="443061"/>
                        </a:xfrm>
                        <a:prstGeom prst="rect">
                          <a:avLst/>
                        </a:prstGeom>
                        <a:noFill/>
                        <a:ln>
                          <a:noFill/>
                        </a:ln>
                      </pic:spPr>
                    </pic:pic>
                  </a:graphicData>
                </a:graphic>
              </wp:inline>
            </w:drawing>
          </w:r>
        </w:p>
      </w:tc>
      <w:tc>
        <w:tcPr>
          <w:tcW w:w="5245" w:type="dxa"/>
          <w:vAlign w:val="center"/>
        </w:tcPr>
        <w:p w14:paraId="774B0396" w14:textId="1D77DCEB" w:rsidR="00AF015F" w:rsidRPr="0043130A" w:rsidRDefault="009B05F7" w:rsidP="0043130A">
          <w:pPr>
            <w:pStyle w:val="Encabezado"/>
            <w:jc w:val="center"/>
            <w:rPr>
              <w:rFonts w:ascii="Arial" w:hAnsi="Arial" w:cs="Arial"/>
              <w:b/>
              <w:bCs/>
            </w:rPr>
          </w:pPr>
          <w:r>
            <w:rPr>
              <w:rFonts w:ascii="Arial" w:hAnsi="Arial" w:cs="Arial"/>
              <w:b/>
              <w:bCs/>
              <w:sz w:val="24"/>
              <w:szCs w:val="24"/>
            </w:rPr>
            <w:t>SUSTAINABILITY POLICY</w:t>
          </w:r>
        </w:p>
      </w:tc>
      <w:tc>
        <w:tcPr>
          <w:tcW w:w="1553" w:type="dxa"/>
          <w:vAlign w:val="center"/>
        </w:tcPr>
        <w:p w14:paraId="71D20588" w14:textId="315F92BE" w:rsidR="00AF015F" w:rsidRPr="00AF015F" w:rsidRDefault="00AF015F" w:rsidP="0043130A">
          <w:pPr>
            <w:pStyle w:val="Encabezado"/>
            <w:jc w:val="center"/>
            <w:rPr>
              <w:rFonts w:ascii="Arial" w:hAnsi="Arial" w:cs="Arial"/>
              <w:b/>
              <w:bCs/>
              <w:sz w:val="18"/>
              <w:szCs w:val="18"/>
            </w:rPr>
          </w:pPr>
          <w:r w:rsidRPr="00AF015F">
            <w:rPr>
              <w:rFonts w:ascii="Arial" w:hAnsi="Arial" w:cs="Arial"/>
              <w:b/>
              <w:bCs/>
              <w:sz w:val="18"/>
              <w:szCs w:val="18"/>
            </w:rPr>
            <w:t>Versi</w:t>
          </w:r>
          <w:r w:rsidR="009B05F7">
            <w:rPr>
              <w:rFonts w:ascii="Arial" w:hAnsi="Arial" w:cs="Arial"/>
              <w:b/>
              <w:bCs/>
              <w:sz w:val="18"/>
              <w:szCs w:val="18"/>
            </w:rPr>
            <w:t>on</w:t>
          </w:r>
          <w:r w:rsidRPr="00AF015F">
            <w:rPr>
              <w:rFonts w:ascii="Arial" w:hAnsi="Arial" w:cs="Arial"/>
              <w:b/>
              <w:bCs/>
              <w:sz w:val="18"/>
              <w:szCs w:val="18"/>
            </w:rPr>
            <w:t xml:space="preserve"> 0</w:t>
          </w:r>
          <w:r w:rsidR="00C66043">
            <w:rPr>
              <w:rFonts w:ascii="Arial" w:hAnsi="Arial" w:cs="Arial"/>
              <w:b/>
              <w:bCs/>
              <w:sz w:val="18"/>
              <w:szCs w:val="18"/>
            </w:rPr>
            <w:t>3</w:t>
          </w:r>
        </w:p>
        <w:p w14:paraId="64AF7F01" w14:textId="040CCC0B" w:rsidR="00AF015F" w:rsidRPr="0043130A" w:rsidRDefault="00C66043" w:rsidP="0043130A">
          <w:pPr>
            <w:pStyle w:val="Encabezado"/>
            <w:jc w:val="center"/>
            <w:rPr>
              <w:rFonts w:ascii="Arial" w:hAnsi="Arial" w:cs="Arial"/>
              <w:b/>
              <w:bCs/>
            </w:rPr>
          </w:pPr>
          <w:r>
            <w:rPr>
              <w:rFonts w:ascii="Arial" w:hAnsi="Arial" w:cs="Arial"/>
              <w:b/>
              <w:bCs/>
              <w:sz w:val="18"/>
              <w:szCs w:val="18"/>
            </w:rPr>
            <w:t>11-01-2024</w:t>
          </w:r>
        </w:p>
      </w:tc>
    </w:tr>
  </w:tbl>
  <w:p w14:paraId="484D89FC" w14:textId="77777777" w:rsidR="0043130A" w:rsidRDefault="0043130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724C"/>
    <w:multiLevelType w:val="hybridMultilevel"/>
    <w:tmpl w:val="31944518"/>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16cid:durableId="7673117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946"/>
    <w:rsid w:val="00082F4C"/>
    <w:rsid w:val="0008566E"/>
    <w:rsid w:val="001002A7"/>
    <w:rsid w:val="001121CD"/>
    <w:rsid w:val="00126AAB"/>
    <w:rsid w:val="00147E60"/>
    <w:rsid w:val="001D1859"/>
    <w:rsid w:val="0029104E"/>
    <w:rsid w:val="0029312B"/>
    <w:rsid w:val="003045A8"/>
    <w:rsid w:val="003224F3"/>
    <w:rsid w:val="00327C97"/>
    <w:rsid w:val="003641F6"/>
    <w:rsid w:val="003B628D"/>
    <w:rsid w:val="004136E7"/>
    <w:rsid w:val="0043130A"/>
    <w:rsid w:val="00436249"/>
    <w:rsid w:val="004421D6"/>
    <w:rsid w:val="004648E3"/>
    <w:rsid w:val="004A0D68"/>
    <w:rsid w:val="004B1A09"/>
    <w:rsid w:val="004C15B9"/>
    <w:rsid w:val="004D509D"/>
    <w:rsid w:val="004E5E84"/>
    <w:rsid w:val="00516257"/>
    <w:rsid w:val="00522ADD"/>
    <w:rsid w:val="0054149D"/>
    <w:rsid w:val="00576F5E"/>
    <w:rsid w:val="0061603C"/>
    <w:rsid w:val="00625BEB"/>
    <w:rsid w:val="00637E91"/>
    <w:rsid w:val="00656493"/>
    <w:rsid w:val="00715946"/>
    <w:rsid w:val="00724D08"/>
    <w:rsid w:val="00731F89"/>
    <w:rsid w:val="0074274D"/>
    <w:rsid w:val="007521AB"/>
    <w:rsid w:val="00770C15"/>
    <w:rsid w:val="00777533"/>
    <w:rsid w:val="007A0ACC"/>
    <w:rsid w:val="007E79DE"/>
    <w:rsid w:val="008266C5"/>
    <w:rsid w:val="00844960"/>
    <w:rsid w:val="00865F56"/>
    <w:rsid w:val="008B5C81"/>
    <w:rsid w:val="0098762C"/>
    <w:rsid w:val="00991883"/>
    <w:rsid w:val="009B05F7"/>
    <w:rsid w:val="009D1469"/>
    <w:rsid w:val="009F3110"/>
    <w:rsid w:val="00A214DA"/>
    <w:rsid w:val="00A26025"/>
    <w:rsid w:val="00A30480"/>
    <w:rsid w:val="00A53EF3"/>
    <w:rsid w:val="00A800DC"/>
    <w:rsid w:val="00A854C0"/>
    <w:rsid w:val="00AA7786"/>
    <w:rsid w:val="00AC5D33"/>
    <w:rsid w:val="00AE2C73"/>
    <w:rsid w:val="00AF015F"/>
    <w:rsid w:val="00B03C65"/>
    <w:rsid w:val="00B23E9A"/>
    <w:rsid w:val="00B868D5"/>
    <w:rsid w:val="00BC34EC"/>
    <w:rsid w:val="00C52033"/>
    <w:rsid w:val="00C61BFC"/>
    <w:rsid w:val="00C66043"/>
    <w:rsid w:val="00C72279"/>
    <w:rsid w:val="00C80D62"/>
    <w:rsid w:val="00C91C3F"/>
    <w:rsid w:val="00CD27B2"/>
    <w:rsid w:val="00CD7445"/>
    <w:rsid w:val="00CD7C97"/>
    <w:rsid w:val="00CF0B1E"/>
    <w:rsid w:val="00CF10C7"/>
    <w:rsid w:val="00CF2333"/>
    <w:rsid w:val="00CF3065"/>
    <w:rsid w:val="00D33613"/>
    <w:rsid w:val="00D3618C"/>
    <w:rsid w:val="00D87FC3"/>
    <w:rsid w:val="00DA0A56"/>
    <w:rsid w:val="00DD5297"/>
    <w:rsid w:val="00DF5B8B"/>
    <w:rsid w:val="00E6229A"/>
    <w:rsid w:val="00E74546"/>
    <w:rsid w:val="00E85483"/>
    <w:rsid w:val="00EC6C36"/>
    <w:rsid w:val="00F0743D"/>
    <w:rsid w:val="00F66C0C"/>
    <w:rsid w:val="00FB467F"/>
    <w:rsid w:val="00FC374C"/>
    <w:rsid w:val="00FD1106"/>
    <w:rsid w:val="00FD503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FA87D7"/>
  <w15:chartTrackingRefBased/>
  <w15:docId w15:val="{BBCB113B-D429-43A5-81E1-21BA81DD3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72279"/>
    <w:pPr>
      <w:ind w:left="720"/>
      <w:contextualSpacing/>
    </w:pPr>
  </w:style>
  <w:style w:type="paragraph" w:styleId="Encabezado">
    <w:name w:val="header"/>
    <w:basedOn w:val="Normal"/>
    <w:link w:val="EncabezadoCar"/>
    <w:uiPriority w:val="99"/>
    <w:unhideWhenUsed/>
    <w:rsid w:val="0043130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3130A"/>
  </w:style>
  <w:style w:type="paragraph" w:styleId="Piedepgina">
    <w:name w:val="footer"/>
    <w:basedOn w:val="Normal"/>
    <w:link w:val="PiedepginaCar"/>
    <w:uiPriority w:val="99"/>
    <w:unhideWhenUsed/>
    <w:rsid w:val="0043130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3130A"/>
  </w:style>
  <w:style w:type="table" w:styleId="Tablaconcuadrcula">
    <w:name w:val="Table Grid"/>
    <w:basedOn w:val="Tablanormal"/>
    <w:uiPriority w:val="39"/>
    <w:rsid w:val="00431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1455</TotalTime>
  <Pages>1</Pages>
  <Words>409</Words>
  <Characters>2253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Sagrario Benavente</dc:creator>
  <cp:keywords/>
  <dc:description/>
  <cp:lastModifiedBy>Facility Planner</cp:lastModifiedBy>
  <cp:revision>37</cp:revision>
  <cp:lastPrinted>2023-11-13T13:55:00Z</cp:lastPrinted>
  <dcterms:created xsi:type="dcterms:W3CDTF">2021-12-14T12:33:00Z</dcterms:created>
  <dcterms:modified xsi:type="dcterms:W3CDTF">2024-01-23T21:25:00Z</dcterms:modified>
</cp:coreProperties>
</file>